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Multi-Tenant Architecture Strategy</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Design patterns for multi-brand, multi-region, and multi-domain Reltio deployments</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Multi-Tenant Architecture Strategy</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01 — Architecture</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ARCH-002</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This document guides architects in designing multi-tenant Reltio strategies for complex enterprises operating multiple brands, geographies, or business units. It covers tenant isolation models, cross-tenant data sharing, hierarchy management, and governance across tenant boundaries. Correct tenant design is the most consequential architectural decision in any Reltio implementation.</w:t>
      </w:r>
    </w:p>
    <w:p/>
    <w:p>
      <w:pPr>
        <w:pStyle w:val="Heading1"/>
      </w:pPr>
      <w:r>
        <w:t>Table of Contents</w:t>
      </w:r>
    </w:p>
    <w:p>
      <w:pPr>
        <w:spacing w:after="60"/>
      </w:pPr>
      <w:r>
        <w:rPr>
          <w:color w:val="0C548A"/>
          <w:sz w:val="22"/>
        </w:rPr>
        <w:t>1.0  Tenant Design Fundamentals</w:t>
      </w:r>
    </w:p>
    <w:p>
      <w:pPr>
        <w:spacing w:after="60"/>
      </w:pPr>
      <w:r>
        <w:rPr>
          <w:color w:val="0C548A"/>
          <w:sz w:val="22"/>
        </w:rPr>
        <w:t>2.0  Isolation Models</w:t>
      </w:r>
    </w:p>
    <w:p>
      <w:pPr>
        <w:spacing w:after="60"/>
      </w:pPr>
      <w:r>
        <w:rPr>
          <w:color w:val="0C548A"/>
          <w:sz w:val="22"/>
        </w:rPr>
        <w:t>3.0  Multi-Domain Architecture</w:t>
      </w:r>
    </w:p>
    <w:p>
      <w:pPr>
        <w:spacing w:after="60"/>
      </w:pPr>
      <w:r>
        <w:rPr>
          <w:color w:val="0C548A"/>
          <w:sz w:val="22"/>
        </w:rPr>
        <w:t>4.0  Cross-Tenant Patterns</w:t>
      </w:r>
    </w:p>
    <w:p>
      <w:pPr>
        <w:spacing w:after="60"/>
      </w:pPr>
      <w:r>
        <w:rPr>
          <w:color w:val="0C548A"/>
          <w:sz w:val="22"/>
        </w:rPr>
        <w:t>5.0  Hierarchy &amp; Party Model</w:t>
      </w:r>
    </w:p>
    <w:p>
      <w:pPr>
        <w:spacing w:after="60"/>
      </w:pPr>
      <w:r>
        <w:rPr>
          <w:color w:val="0C548A"/>
          <w:sz w:val="22"/>
        </w:rPr>
        <w:t>6.0  Governance Across Tenants</w:t>
      </w:r>
    </w:p>
    <w:p>
      <w:r>
        <w:br w:type="page"/>
      </w:r>
    </w:p>
    <w:p>
      <w:pPr>
        <w:pStyle w:val="Heading1"/>
      </w:pPr>
      <w:r>
        <w:t>1. Tenant Design Fundamentals</w:t>
      </w:r>
    </w:p>
    <w:p>
      <w:r>
        <w:t>In Reltio, a 'tenant' is an isolated environment with its own entity model, configuration, data, and user access. The tenant boundary is the fundamental unit of data isolation and governance. Tenant design decisions are difficult to reverse post-implementation.</w:t>
      </w:r>
    </w:p>
    <w:p>
      <w:pPr>
        <w:pStyle w:val="Heading2"/>
      </w:pPr>
      <w:r>
        <w:t>1.1 Tenant Design Decision Matrix</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Scenario</w:t>
            </w:r>
          </w:p>
        </w:tc>
        <w:tc>
          <w:tcPr>
            <w:tcW w:type="dxa" w:w="3120"/>
            <w:shd w:fill="0C548A" w:val="clear"/>
          </w:tcPr>
          <w:p>
            <w:r>
              <w:rPr>
                <w:b/>
                <w:color w:val="FFFFFF"/>
                <w:sz w:val="20"/>
              </w:rPr>
              <w:t>Recommended Model</w:t>
            </w:r>
          </w:p>
        </w:tc>
        <w:tc>
          <w:tcPr>
            <w:tcW w:type="dxa" w:w="3120"/>
            <w:shd w:fill="0C548A" w:val="clear"/>
          </w:tcPr>
          <w:p>
            <w:r>
              <w:rPr>
                <w:b/>
                <w:color w:val="FFFFFF"/>
                <w:sz w:val="20"/>
              </w:rPr>
              <w:t>Rationale</w:t>
            </w:r>
          </w:p>
        </w:tc>
      </w:tr>
      <w:tr>
        <w:tc>
          <w:tcPr>
            <w:tcW w:type="dxa" w:w="3120"/>
          </w:tcPr>
          <w:p>
            <w:r>
              <w:rPr>
                <w:sz w:val="20"/>
              </w:rPr>
              <w:t>Single enterprise, multiple domains</w:t>
            </w:r>
          </w:p>
        </w:tc>
        <w:tc>
          <w:tcPr>
            <w:tcW w:type="dxa" w:w="3120"/>
          </w:tcPr>
          <w:p>
            <w:r>
              <w:rPr>
                <w:sz w:val="20"/>
              </w:rPr>
              <w:t>One tenant, multiple entity types</w:t>
            </w:r>
          </w:p>
        </w:tc>
        <w:tc>
          <w:tcPr>
            <w:tcW w:type="dxa" w:w="3120"/>
          </w:tcPr>
          <w:p>
            <w:r>
              <w:rPr>
                <w:sz w:val="20"/>
              </w:rPr>
              <w:t>Enables cross-domain relationships</w:t>
            </w:r>
          </w:p>
        </w:tc>
      </w:tr>
      <w:tr>
        <w:tc>
          <w:tcPr>
            <w:tcW w:type="dxa" w:w="3120"/>
            <w:shd w:fill="F4F6FA" w:val="clear"/>
          </w:tcPr>
          <w:p>
            <w:r>
              <w:rPr>
                <w:sz w:val="20"/>
              </w:rPr>
              <w:t>Multiple brands, shared data</w:t>
            </w:r>
          </w:p>
        </w:tc>
        <w:tc>
          <w:tcPr>
            <w:tcW w:type="dxa" w:w="3120"/>
            <w:shd w:fill="F4F6FA" w:val="clear"/>
          </w:tcPr>
          <w:p>
            <w:r>
              <w:rPr>
                <w:sz w:val="20"/>
              </w:rPr>
              <w:t>One tenant with segment filtering</w:t>
            </w:r>
          </w:p>
        </w:tc>
        <w:tc>
          <w:tcPr>
            <w:tcW w:type="dxa" w:w="3120"/>
            <w:shd w:fill="F4F6FA" w:val="clear"/>
          </w:tcPr>
          <w:p>
            <w:r>
              <w:rPr>
                <w:sz w:val="20"/>
              </w:rPr>
              <w:t>Avoids cross-tenant data sharing complexity</w:t>
            </w:r>
          </w:p>
        </w:tc>
      </w:tr>
      <w:tr>
        <w:tc>
          <w:tcPr>
            <w:tcW w:type="dxa" w:w="3120"/>
          </w:tcPr>
          <w:p>
            <w:r>
              <w:rPr>
                <w:sz w:val="20"/>
              </w:rPr>
              <w:t>Regulatory data isolation required</w:t>
            </w:r>
          </w:p>
        </w:tc>
        <w:tc>
          <w:tcPr>
            <w:tcW w:type="dxa" w:w="3120"/>
          </w:tcPr>
          <w:p>
            <w:r>
              <w:rPr>
                <w:sz w:val="20"/>
              </w:rPr>
              <w:t>Separate tenant per region/brand</w:t>
            </w:r>
          </w:p>
        </w:tc>
        <w:tc>
          <w:tcPr>
            <w:tcW w:type="dxa" w:w="3120"/>
          </w:tcPr>
          <w:p>
            <w:r>
              <w:rPr>
                <w:sz w:val="20"/>
              </w:rPr>
              <w:t>Hard data boundary for compliance</w:t>
            </w:r>
          </w:p>
        </w:tc>
      </w:tr>
      <w:tr>
        <w:tc>
          <w:tcPr>
            <w:tcW w:type="dxa" w:w="3120"/>
            <w:shd w:fill="F4F6FA" w:val="clear"/>
          </w:tcPr>
          <w:p>
            <w:r>
              <w:rPr>
                <w:sz w:val="20"/>
              </w:rPr>
              <w:t>Development / Test / Prod</w:t>
            </w:r>
          </w:p>
        </w:tc>
        <w:tc>
          <w:tcPr>
            <w:tcW w:type="dxa" w:w="3120"/>
            <w:shd w:fill="F4F6FA" w:val="clear"/>
          </w:tcPr>
          <w:p>
            <w:r>
              <w:rPr>
                <w:sz w:val="20"/>
              </w:rPr>
              <w:t>Separate tenants per environment</w:t>
            </w:r>
          </w:p>
        </w:tc>
        <w:tc>
          <w:tcPr>
            <w:tcW w:type="dxa" w:w="3120"/>
            <w:shd w:fill="F4F6FA" w:val="clear"/>
          </w:tcPr>
          <w:p>
            <w:r>
              <w:rPr>
                <w:sz w:val="20"/>
              </w:rPr>
              <w:t>Standard environment isolation</w:t>
            </w:r>
          </w:p>
        </w:tc>
      </w:tr>
      <w:tr>
        <w:tc>
          <w:tcPr>
            <w:tcW w:type="dxa" w:w="3120"/>
          </w:tcPr>
          <w:p>
            <w:r>
              <w:rPr>
                <w:sz w:val="20"/>
              </w:rPr>
              <w:t>Acquired company integration</w:t>
            </w:r>
          </w:p>
        </w:tc>
        <w:tc>
          <w:tcPr>
            <w:tcW w:type="dxa" w:w="3120"/>
          </w:tcPr>
          <w:p>
            <w:r>
              <w:rPr>
                <w:sz w:val="20"/>
              </w:rPr>
              <w:t>Separate tenant during transition</w:t>
            </w:r>
          </w:p>
        </w:tc>
        <w:tc>
          <w:tcPr>
            <w:tcW w:type="dxa" w:w="3120"/>
          </w:tcPr>
          <w:p>
            <w:r>
              <w:rPr>
                <w:sz w:val="20"/>
              </w:rPr>
              <w:t>Gradual merge strategy</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Do not create separate tenants for different entity types (e.g., Customer tenant vs Product tenant). This prevents cross-entity relationship modeling and is a common costly mistake.</w:t>
      </w:r>
    </w:p>
    <w:p/>
    <w:p>
      <w:pPr>
        <w:pStyle w:val="Heading1"/>
      </w:pPr>
      <w:r>
        <w:t>2. Isolation Models</w:t>
      </w:r>
    </w:p>
    <w:p>
      <w:pPr>
        <w:pStyle w:val="Heading2"/>
      </w:pPr>
      <w:r>
        <w:t>2.1 Single-Tenant Model</w:t>
      </w:r>
    </w:p>
    <w:p>
      <w:r>
        <w:t>All entity types (Party, Product, Location, etc.) in one Reltio tenant. Cross-entity relationships are fully supported. Recommended for most enterprise deployments.</w:t>
      </w:r>
    </w:p>
    <w:p>
      <w:pPr>
        <w:pStyle w:val="Heading2"/>
      </w:pPr>
      <w:r>
        <w:t>2.2 Multi-Tenant Federated Model</w:t>
      </w:r>
    </w:p>
    <w:p>
      <w:r>
        <w:t>Separate tenants for distinct business units or brands with cross-tenant federation via external ID cross-referencing. Required when regulatory isolation mandates separate data stores.</w:t>
      </w:r>
    </w:p>
    <w:p>
      <w:pPr>
        <w:pStyle w:val="Heading2"/>
      </w:pPr>
      <w:r>
        <w:t>2.3 Environment Tenant Model</w:t>
      </w:r>
    </w:p>
    <w:p>
      <w:r>
        <w:t>Dedicated tenants for DEV, QA, UAT, PROD. Configuration promoted via Reltio Config API or Mastech's ReltioConfig CI/CD pipeline tooling.</w:t>
      </w:r>
    </w:p>
    <w:p>
      <w:pPr>
        <w:pStyle w:val="Heading1"/>
      </w:pPr>
      <w:r>
        <w:t>3. Multi-Domain Architecture</w:t>
      </w:r>
    </w:p>
    <w:p>
      <w:pPr>
        <w:pStyle w:val="Heading2"/>
      </w:pPr>
      <w:r>
        <w:t>3.1 Common Entity Domains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Domain</w:t>
            </w:r>
          </w:p>
        </w:tc>
        <w:tc>
          <w:tcPr>
            <w:tcW w:type="dxa" w:w="2340"/>
            <w:shd w:fill="0C548A" w:val="clear"/>
          </w:tcPr>
          <w:p>
            <w:r>
              <w:rPr>
                <w:b/>
                <w:color w:val="FFFFFF"/>
                <w:sz w:val="20"/>
              </w:rPr>
              <w:t>Primary Entities</w:t>
            </w:r>
          </w:p>
        </w:tc>
        <w:tc>
          <w:tcPr>
            <w:tcW w:type="dxa" w:w="2340"/>
            <w:shd w:fill="0C548A" w:val="clear"/>
          </w:tcPr>
          <w:p>
            <w:r>
              <w:rPr>
                <w:b/>
                <w:color w:val="FFFFFF"/>
                <w:sz w:val="20"/>
              </w:rPr>
              <w:t>Key Relationships</w:t>
            </w:r>
          </w:p>
        </w:tc>
        <w:tc>
          <w:tcPr>
            <w:tcW w:type="dxa" w:w="2340"/>
            <w:shd w:fill="0C548A" w:val="clear"/>
          </w:tcPr>
          <w:p>
            <w:r>
              <w:rPr>
                <w:b/>
                <w:color w:val="FFFFFF"/>
                <w:sz w:val="20"/>
              </w:rPr>
              <w:t>Priority</w:t>
            </w:r>
          </w:p>
        </w:tc>
      </w:tr>
      <w:tr>
        <w:tc>
          <w:tcPr>
            <w:tcW w:type="dxa" w:w="2340"/>
          </w:tcPr>
          <w:p>
            <w:r>
              <w:rPr>
                <w:sz w:val="20"/>
              </w:rPr>
              <w:t>Party</w:t>
            </w:r>
          </w:p>
        </w:tc>
        <w:tc>
          <w:tcPr>
            <w:tcW w:type="dxa" w:w="2340"/>
          </w:tcPr>
          <w:p>
            <w:r>
              <w:rPr>
                <w:sz w:val="20"/>
              </w:rPr>
              <w:t>Individual, Organization, Household</w:t>
            </w:r>
          </w:p>
        </w:tc>
        <w:tc>
          <w:tcPr>
            <w:tcW w:type="dxa" w:w="2340"/>
          </w:tcPr>
          <w:p>
            <w:r>
              <w:rPr>
                <w:sz w:val="20"/>
              </w:rPr>
              <w:t>Hierarchy, Employment, Ownership</w:t>
            </w:r>
          </w:p>
        </w:tc>
        <w:tc>
          <w:tcPr>
            <w:tcW w:type="dxa" w:w="2340"/>
          </w:tcPr>
          <w:p>
            <w:r>
              <w:rPr>
                <w:sz w:val="20"/>
              </w:rPr>
              <w:t>P1</w:t>
            </w:r>
          </w:p>
        </w:tc>
      </w:tr>
      <w:tr>
        <w:tc>
          <w:tcPr>
            <w:tcW w:type="dxa" w:w="2340"/>
            <w:shd w:fill="F4F6FA" w:val="clear"/>
          </w:tcPr>
          <w:p>
            <w:r>
              <w:rPr>
                <w:sz w:val="20"/>
              </w:rPr>
              <w:t>Product</w:t>
            </w:r>
          </w:p>
        </w:tc>
        <w:tc>
          <w:tcPr>
            <w:tcW w:type="dxa" w:w="2340"/>
            <w:shd w:fill="F4F6FA" w:val="clear"/>
          </w:tcPr>
          <w:p>
            <w:r>
              <w:rPr>
                <w:sz w:val="20"/>
              </w:rPr>
              <w:t>Product, Bundle, Variant</w:t>
            </w:r>
          </w:p>
        </w:tc>
        <w:tc>
          <w:tcPr>
            <w:tcW w:type="dxa" w:w="2340"/>
            <w:shd w:fill="F4F6FA" w:val="clear"/>
          </w:tcPr>
          <w:p>
            <w:r>
              <w:rPr>
                <w:sz w:val="20"/>
              </w:rPr>
              <w:t>Category, BOM, Substitution</w:t>
            </w:r>
          </w:p>
        </w:tc>
        <w:tc>
          <w:tcPr>
            <w:tcW w:type="dxa" w:w="2340"/>
            <w:shd w:fill="F4F6FA" w:val="clear"/>
          </w:tcPr>
          <w:p>
            <w:r>
              <w:rPr>
                <w:sz w:val="20"/>
              </w:rPr>
              <w:t>P1</w:t>
            </w:r>
          </w:p>
        </w:tc>
      </w:tr>
      <w:tr>
        <w:tc>
          <w:tcPr>
            <w:tcW w:type="dxa" w:w="2340"/>
          </w:tcPr>
          <w:p>
            <w:r>
              <w:rPr>
                <w:sz w:val="20"/>
              </w:rPr>
              <w:t>Location</w:t>
            </w:r>
          </w:p>
        </w:tc>
        <w:tc>
          <w:tcPr>
            <w:tcW w:type="dxa" w:w="2340"/>
          </w:tcPr>
          <w:p>
            <w:r>
              <w:rPr>
                <w:sz w:val="20"/>
              </w:rPr>
              <w:t>Address, Site, Territory</w:t>
            </w:r>
          </w:p>
        </w:tc>
        <w:tc>
          <w:tcPr>
            <w:tcW w:type="dxa" w:w="2340"/>
          </w:tcPr>
          <w:p>
            <w:r>
              <w:rPr>
                <w:sz w:val="20"/>
              </w:rPr>
              <w:t>Geo-hierarchy, Coverage</w:t>
            </w:r>
          </w:p>
        </w:tc>
        <w:tc>
          <w:tcPr>
            <w:tcW w:type="dxa" w:w="2340"/>
          </w:tcPr>
          <w:p>
            <w:r>
              <w:rPr>
                <w:sz w:val="20"/>
              </w:rPr>
              <w:t>P2</w:t>
            </w:r>
          </w:p>
        </w:tc>
      </w:tr>
      <w:tr>
        <w:tc>
          <w:tcPr>
            <w:tcW w:type="dxa" w:w="2340"/>
            <w:shd w:fill="F4F6FA" w:val="clear"/>
          </w:tcPr>
          <w:p>
            <w:r>
              <w:rPr>
                <w:sz w:val="20"/>
              </w:rPr>
              <w:t>Reference Data</w:t>
            </w:r>
          </w:p>
        </w:tc>
        <w:tc>
          <w:tcPr>
            <w:tcW w:type="dxa" w:w="2340"/>
            <w:shd w:fill="F4F6FA" w:val="clear"/>
          </w:tcPr>
          <w:p>
            <w:r>
              <w:rPr>
                <w:sz w:val="20"/>
              </w:rPr>
              <w:t>Lookup, Taxonomy, Codelist</w:t>
            </w:r>
          </w:p>
        </w:tc>
        <w:tc>
          <w:tcPr>
            <w:tcW w:type="dxa" w:w="2340"/>
            <w:shd w:fill="F4F6FA" w:val="clear"/>
          </w:tcPr>
          <w:p>
            <w:r>
              <w:rPr>
                <w:sz w:val="20"/>
              </w:rPr>
              <w:t>Domain classification</w:t>
            </w:r>
          </w:p>
        </w:tc>
        <w:tc>
          <w:tcPr>
            <w:tcW w:type="dxa" w:w="2340"/>
            <w:shd w:fill="F4F6FA" w:val="clear"/>
          </w:tcPr>
          <w:p>
            <w:r>
              <w:rPr>
                <w:sz w:val="20"/>
              </w:rPr>
              <w:t>P3</w:t>
            </w:r>
          </w:p>
        </w:tc>
      </w:tr>
      <w:tr>
        <w:tc>
          <w:tcPr>
            <w:tcW w:type="dxa" w:w="2340"/>
          </w:tcPr>
          <w:p>
            <w:r>
              <w:rPr>
                <w:sz w:val="20"/>
              </w:rPr>
              <w:t>Asset</w:t>
            </w:r>
          </w:p>
        </w:tc>
        <w:tc>
          <w:tcPr>
            <w:tcW w:type="dxa" w:w="2340"/>
          </w:tcPr>
          <w:p>
            <w:r>
              <w:rPr>
                <w:sz w:val="20"/>
              </w:rPr>
              <w:t>Contract, Policy, Account</w:t>
            </w:r>
          </w:p>
        </w:tc>
        <w:tc>
          <w:tcPr>
            <w:tcW w:type="dxa" w:w="2340"/>
          </w:tcPr>
          <w:p>
            <w:r>
              <w:rPr>
                <w:sz w:val="20"/>
              </w:rPr>
              <w:t>Ownership, Coverage</w:t>
            </w:r>
          </w:p>
        </w:tc>
        <w:tc>
          <w:tcPr>
            <w:tcW w:type="dxa" w:w="2340"/>
          </w:tcPr>
          <w:p>
            <w:r>
              <w:rPr>
                <w:sz w:val="20"/>
              </w:rPr>
              <w:t>P2</w:t>
            </w:r>
          </w:p>
        </w:tc>
      </w:tr>
    </w:tbl>
    <w:p/>
    <w:p>
      <w:pPr>
        <w:pStyle w:val="Heading2"/>
      </w:pPr>
      <w:r>
        <w:t>3.2 Relationship Design</w:t>
      </w:r>
    </w:p>
    <w:p>
      <w:pPr>
        <w:pStyle w:val="ListBullet"/>
      </w:pPr>
      <w:r>
        <w:t>Use Reltio native relationships for same-tenant entity connections</w:t>
      </w:r>
    </w:p>
    <w:p>
      <w:pPr>
        <w:pStyle w:val="ListBullet"/>
      </w:pPr>
      <w:r>
        <w:t>Define relationship types with cardinality (1:1, 1:N, M:N) in entity model</w:t>
      </w:r>
    </w:p>
    <w:p>
      <w:pPr>
        <w:pStyle w:val="ListBullet"/>
      </w:pPr>
      <w:r>
        <w:t>Leverage cross-reference (XREF) for source system ID mapping per entity</w:t>
      </w:r>
    </w:p>
    <w:p>
      <w:pPr>
        <w:pStyle w:val="ListBullet"/>
      </w:pPr>
      <w:r>
        <w:t>Model hierarchy relationships (Parent/Child org) using native hierarchy entity type</w:t>
      </w:r>
    </w:p>
    <w:p>
      <w:pPr>
        <w:pStyle w:val="Heading1"/>
      </w:pPr>
      <w:r>
        <w:t>4. Cross-Tenant Patterns</w:t>
      </w:r>
    </w:p>
    <w:p>
      <w:pPr>
        <w:pStyle w:val="Heading2"/>
      </w:pPr>
      <w:r>
        <w:t>4.1 External ID Bridge</w:t>
      </w:r>
    </w:p>
    <w:p>
      <w:r>
        <w:t>When data must be shared across tenants, use a canonical ID bridge: establish a global ID (e.g., Global Party ID) maintained externally and referenced as a cross-reference in each tenant.</w:t>
      </w:r>
    </w:p>
    <w:p>
      <w:pPr>
        <w:pStyle w:val="NoSpacing"/>
        <w:shd w:fill="F5F5F5" w:val="clear"/>
        <w:ind w:left="432"/>
      </w:pPr>
      <w:r>
        <w:rPr>
          <w:rFonts w:ascii="Consolas" w:hAnsi="Consolas"/>
          <w:sz w:val="18"/>
        </w:rPr>
        <w:t># Cross-reference entry example (JSON)</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"type": "com.reltio.Party",</w:t>
      </w:r>
    </w:p>
    <w:p>
      <w:pPr>
        <w:pStyle w:val="NoSpacing"/>
        <w:shd w:fill="F5F5F5" w:val="clear"/>
        <w:ind w:left="432"/>
      </w:pPr>
      <w:r>
        <w:rPr>
          <w:rFonts w:ascii="Consolas" w:hAnsi="Consolas"/>
          <w:sz w:val="18"/>
        </w:rPr>
        <w:t xml:space="preserve">  "crossReferences": [</w:t>
      </w:r>
    </w:p>
    <w:p>
      <w:pPr>
        <w:pStyle w:val="NoSpacing"/>
        <w:shd w:fill="F5F5F5" w:val="clear"/>
        <w:ind w:left="432"/>
      </w:pPr>
      <w:r>
        <w:rPr>
          <w:rFonts w:ascii="Consolas" w:hAnsi="Consolas"/>
          <w:sz w:val="18"/>
        </w:rPr>
        <w:t xml:space="preserve">    {"type": "com.example.GlobalPartyID", "value": "GP-00012345"},</w:t>
      </w:r>
    </w:p>
    <w:p>
      <w:pPr>
        <w:pStyle w:val="NoSpacing"/>
        <w:shd w:fill="F5F5F5" w:val="clear"/>
        <w:ind w:left="432"/>
      </w:pPr>
      <w:r>
        <w:rPr>
          <w:rFonts w:ascii="Consolas" w:hAnsi="Consolas"/>
          <w:sz w:val="18"/>
        </w:rPr>
        <w:t xml:space="preserve">    {"type": "com.example.SalesforceContactID", "value": "003xx0000034d5KAAQ"}</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pPr>
        <w:pStyle w:val="Heading2"/>
      </w:pPr>
      <w:r>
        <w:t>4.2 Event-Based Synchronization</w:t>
      </w:r>
    </w:p>
    <w:p>
      <w:pPr>
        <w:pStyle w:val="ListBullet"/>
      </w:pPr>
      <w:r>
        <w:t>Publish entity changes from Tenant A to Reltio Streams</w:t>
      </w:r>
    </w:p>
    <w:p>
      <w:pPr>
        <w:pStyle w:val="ListBullet"/>
      </w:pPr>
      <w:r>
        <w:t>Stream consumer enriches and publishes to Tenant B via REST API</w:t>
      </w:r>
    </w:p>
    <w:p>
      <w:pPr>
        <w:pStyle w:val="ListBullet"/>
      </w:pPr>
      <w:r>
        <w:t>Include Global ID in cross-reference for reconciliation</w:t>
      </w:r>
    </w:p>
    <w:p>
      <w:pPr>
        <w:pStyle w:val="Heading1"/>
      </w:pPr>
      <w:r>
        <w:t>5. Hierarchy &amp; Party Model</w:t>
      </w:r>
    </w:p>
    <w:p>
      <w:pPr>
        <w:pStyle w:val="Heading2"/>
      </w:pPr>
      <w:r>
        <w:t>5.1 Organization Hierarchy Design</w:t>
      </w:r>
    </w:p>
    <w:p>
      <w:r>
        <w:t>Model corporate hierarchies using Reltio's native hierarchy entity type with parent-child relationships. Support multiple concurrent hierarchy views (Legal, Operational, Tax).</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Hierarchy Type</w:t>
            </w:r>
          </w:p>
        </w:tc>
        <w:tc>
          <w:tcPr>
            <w:tcW w:type="dxa" w:w="2340"/>
            <w:shd w:fill="0C548A" w:val="clear"/>
          </w:tcPr>
          <w:p>
            <w:r>
              <w:rPr>
                <w:b/>
                <w:color w:val="FFFFFF"/>
                <w:sz w:val="20"/>
              </w:rPr>
              <w:t>Use Case</w:t>
            </w:r>
          </w:p>
        </w:tc>
        <w:tc>
          <w:tcPr>
            <w:tcW w:type="dxa" w:w="2340"/>
            <w:shd w:fill="0C548A" w:val="clear"/>
          </w:tcPr>
          <w:p>
            <w:r>
              <w:rPr>
                <w:b/>
                <w:color w:val="FFFFFF"/>
                <w:sz w:val="20"/>
              </w:rPr>
              <w:t>Depth</w:t>
            </w:r>
          </w:p>
        </w:tc>
        <w:tc>
          <w:tcPr>
            <w:tcW w:type="dxa" w:w="2340"/>
            <w:shd w:fill="0C548A" w:val="clear"/>
          </w:tcPr>
          <w:p>
            <w:r>
              <w:rPr>
                <w:b/>
                <w:color w:val="FFFFFF"/>
                <w:sz w:val="20"/>
              </w:rPr>
              <w:t>Update Frequency</w:t>
            </w:r>
          </w:p>
        </w:tc>
      </w:tr>
      <w:tr>
        <w:tc>
          <w:tcPr>
            <w:tcW w:type="dxa" w:w="2340"/>
          </w:tcPr>
          <w:p>
            <w:r>
              <w:rPr>
                <w:sz w:val="20"/>
              </w:rPr>
              <w:t>Legal Entity</w:t>
            </w:r>
          </w:p>
        </w:tc>
        <w:tc>
          <w:tcPr>
            <w:tcW w:type="dxa" w:w="2340"/>
          </w:tcPr>
          <w:p>
            <w:r>
              <w:rPr>
                <w:sz w:val="20"/>
              </w:rPr>
              <w:t>Financial consolidation, compliance</w:t>
            </w:r>
          </w:p>
        </w:tc>
        <w:tc>
          <w:tcPr>
            <w:tcW w:type="dxa" w:w="2340"/>
          </w:tcPr>
          <w:p>
            <w:r>
              <w:rPr>
                <w:sz w:val="20"/>
              </w:rPr>
              <w:t>Up to 10 levels</w:t>
            </w:r>
          </w:p>
        </w:tc>
        <w:tc>
          <w:tcPr>
            <w:tcW w:type="dxa" w:w="2340"/>
          </w:tcPr>
          <w:p>
            <w:r>
              <w:rPr>
                <w:sz w:val="20"/>
              </w:rPr>
              <w:t>Weekly</w:t>
            </w:r>
          </w:p>
        </w:tc>
      </w:tr>
      <w:tr>
        <w:tc>
          <w:tcPr>
            <w:tcW w:type="dxa" w:w="2340"/>
            <w:shd w:fill="F4F6FA" w:val="clear"/>
          </w:tcPr>
          <w:p>
            <w:r>
              <w:rPr>
                <w:sz w:val="20"/>
              </w:rPr>
              <w:t>Operational</w:t>
            </w:r>
          </w:p>
        </w:tc>
        <w:tc>
          <w:tcPr>
            <w:tcW w:type="dxa" w:w="2340"/>
            <w:shd w:fill="F4F6FA" w:val="clear"/>
          </w:tcPr>
          <w:p>
            <w:r>
              <w:rPr>
                <w:sz w:val="20"/>
              </w:rPr>
              <w:t>Sales territory, account management</w:t>
            </w:r>
          </w:p>
        </w:tc>
        <w:tc>
          <w:tcPr>
            <w:tcW w:type="dxa" w:w="2340"/>
            <w:shd w:fill="F4F6FA" w:val="clear"/>
          </w:tcPr>
          <w:p>
            <w:r>
              <w:rPr>
                <w:sz w:val="20"/>
              </w:rPr>
              <w:t>Up to 6 levels</w:t>
            </w:r>
          </w:p>
        </w:tc>
        <w:tc>
          <w:tcPr>
            <w:tcW w:type="dxa" w:w="2340"/>
            <w:shd w:fill="F4F6FA" w:val="clear"/>
          </w:tcPr>
          <w:p>
            <w:r>
              <w:rPr>
                <w:sz w:val="20"/>
              </w:rPr>
              <w:t>Daily</w:t>
            </w:r>
          </w:p>
        </w:tc>
      </w:tr>
      <w:tr>
        <w:tc>
          <w:tcPr>
            <w:tcW w:type="dxa" w:w="2340"/>
          </w:tcPr>
          <w:p>
            <w:r>
              <w:rPr>
                <w:sz w:val="20"/>
              </w:rPr>
              <w:t>Tax / Regulatory</w:t>
            </w:r>
          </w:p>
        </w:tc>
        <w:tc>
          <w:tcPr>
            <w:tcW w:type="dxa" w:w="2340"/>
          </w:tcPr>
          <w:p>
            <w:r>
              <w:rPr>
                <w:sz w:val="20"/>
              </w:rPr>
              <w:t>Tax reporting, GDPR</w:t>
            </w:r>
          </w:p>
        </w:tc>
        <w:tc>
          <w:tcPr>
            <w:tcW w:type="dxa" w:w="2340"/>
          </w:tcPr>
          <w:p>
            <w:r>
              <w:rPr>
                <w:sz w:val="20"/>
              </w:rPr>
              <w:t>Up to 5 levels</w:t>
            </w:r>
          </w:p>
        </w:tc>
        <w:tc>
          <w:tcPr>
            <w:tcW w:type="dxa" w:w="2340"/>
          </w:tcPr>
          <w:p>
            <w:r>
              <w:rPr>
                <w:sz w:val="20"/>
              </w:rPr>
              <w:t>Monthly</w:t>
            </w:r>
          </w:p>
        </w:tc>
      </w:tr>
      <w:tr>
        <w:tc>
          <w:tcPr>
            <w:tcW w:type="dxa" w:w="2340"/>
            <w:shd w:fill="F4F6FA" w:val="clear"/>
          </w:tcPr>
          <w:p>
            <w:r>
              <w:rPr>
                <w:sz w:val="20"/>
              </w:rPr>
              <w:t>D&amp;B / Third-Party</w:t>
            </w:r>
          </w:p>
        </w:tc>
        <w:tc>
          <w:tcPr>
            <w:tcW w:type="dxa" w:w="2340"/>
            <w:shd w:fill="F4F6FA" w:val="clear"/>
          </w:tcPr>
          <w:p>
            <w:r>
              <w:rPr>
                <w:sz w:val="20"/>
              </w:rPr>
              <w:t>Enriched hierarchy from data provider</w:t>
            </w:r>
          </w:p>
        </w:tc>
        <w:tc>
          <w:tcPr>
            <w:tcW w:type="dxa" w:w="2340"/>
            <w:shd w:fill="F4F6FA" w:val="clear"/>
          </w:tcPr>
          <w:p>
            <w:r>
              <w:rPr>
                <w:sz w:val="20"/>
              </w:rPr>
              <w:t>Variable</w:t>
            </w:r>
          </w:p>
        </w:tc>
        <w:tc>
          <w:tcPr>
            <w:tcW w:type="dxa" w:w="2340"/>
            <w:shd w:fill="F4F6FA" w:val="clear"/>
          </w:tcPr>
          <w:p>
            <w:r>
              <w:rPr>
                <w:sz w:val="20"/>
              </w:rPr>
              <w:t>Monthly</w:t>
            </w:r>
          </w:p>
        </w:tc>
      </w:tr>
    </w:tbl>
    <w:p/>
    <w:p>
      <w:pPr>
        <w:pStyle w:val="Heading2"/>
      </w:pPr>
      <w:r>
        <w:t>5.2 Household / Relationship Modeling</w:t>
      </w:r>
    </w:p>
    <w:p>
      <w:pPr>
        <w:pStyle w:val="ListBullet"/>
      </w:pPr>
      <w:r>
        <w:t>Use Reltio relationship entities for household composition (Individual → Household)</w:t>
      </w:r>
    </w:p>
    <w:p>
      <w:pPr>
        <w:pStyle w:val="ListBullet"/>
      </w:pPr>
      <w:r>
        <w:t>Model employment relationships (Individual → Organization) with effective dates</w:t>
      </w:r>
    </w:p>
    <w:p>
      <w:pPr>
        <w:pStyle w:val="ListBullet"/>
      </w:pPr>
      <w:r>
        <w:t>Support fuzzy household matching using address + surname probabilistic rules</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Reltio's party model supports time-variant relationships with effective start/end dates, enabling accurate point-in-time queries for regulatory reporting.</w:t>
      </w:r>
    </w:p>
    <w:p/>
    <w:p>
      <w:pPr>
        <w:pStyle w:val="Heading1"/>
      </w:pPr>
      <w:r>
        <w:t>6. Governance Across Tenants</w:t>
      </w:r>
    </w:p>
    <w:p>
      <w:pPr>
        <w:pStyle w:val="Heading2"/>
      </w:pPr>
      <w:r>
        <w:t>6.1 Consistent Data Policies</w:t>
      </w:r>
    </w:p>
    <w:p>
      <w:pPr>
        <w:pStyle w:val="ListBullet"/>
      </w:pPr>
      <w:r>
        <w:t>Publish entity model standards as shared configuration templates</w:t>
      </w:r>
    </w:p>
    <w:p>
      <w:pPr>
        <w:pStyle w:val="ListBullet"/>
      </w:pPr>
      <w:r>
        <w:t>Enforce naming conventions across tenants via Mastech Config Review process</w:t>
      </w:r>
    </w:p>
    <w:p>
      <w:pPr>
        <w:pStyle w:val="ListBullet"/>
      </w:pPr>
      <w:r>
        <w:t>Centralize attribute stewardship rules in a shared governance catalog</w:t>
      </w:r>
    </w:p>
    <w:p>
      <w:pPr>
        <w:pStyle w:val="Heading2"/>
      </w:pPr>
      <w:r>
        <w:t>6.2 Cross-Tenant Audit</w:t>
      </w:r>
    </w:p>
    <w:p>
      <w:r>
        <w:t>Export audit logs from all tenants to a central SIEM (Splunk, Datadog) for unified compliance reporting. Use Reltio Audit API for structured log extraction.</w:t>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ARCH-001: Reltio MDM Architecture Guide</w:t>
            </w:r>
          </w:p>
        </w:tc>
        <w:tc>
          <w:tcPr>
            <w:tcW w:type="dxa" w:w="4680"/>
          </w:tcPr>
          <w:p>
            <w:r>
              <w:rPr>
                <w:sz w:val="20"/>
              </w:rPr>
              <w:t>Reltio Asset Library</w:t>
            </w:r>
          </w:p>
        </w:tc>
      </w:tr>
      <w:tr>
        <w:tc>
          <w:tcPr>
            <w:tcW w:type="dxa" w:w="4680"/>
            <w:shd w:fill="F4F6FA" w:val="clear"/>
          </w:tcPr>
          <w:p>
            <w:r>
              <w:rPr>
                <w:sz w:val="20"/>
              </w:rPr>
              <w:t>ARCH-003: Data Model Design Patterns</w:t>
            </w:r>
          </w:p>
        </w:tc>
        <w:tc>
          <w:tcPr>
            <w:tcW w:type="dxa" w:w="4680"/>
            <w:shd w:fill="F4F6FA" w:val="clear"/>
          </w:tcPr>
          <w:p>
            <w:r>
              <w:rPr>
                <w:sz w:val="20"/>
              </w:rPr>
              <w:t>Reltio Asset Library</w:t>
            </w:r>
          </w:p>
        </w:tc>
      </w:tr>
      <w:tr>
        <w:tc>
          <w:tcPr>
            <w:tcW w:type="dxa" w:w="4680"/>
          </w:tcPr>
          <w:p>
            <w:r>
              <w:rPr>
                <w:sz w:val="20"/>
              </w:rPr>
              <w:t>GOV-001: Data Governance Framework</w:t>
            </w:r>
          </w:p>
        </w:tc>
        <w:tc>
          <w:tcPr>
            <w:tcW w:type="dxa" w:w="4680"/>
          </w:tcPr>
          <w:p>
            <w:r>
              <w:rPr>
                <w:sz w:val="20"/>
              </w:rPr>
              <w:t>Reltio Asset Library</w:t>
            </w:r>
          </w:p>
        </w:tc>
      </w:tr>
      <w:tr>
        <w:tc>
          <w:tcPr>
            <w:tcW w:type="dxa" w:w="4680"/>
            <w:shd w:fill="F4F6FA" w:val="clear"/>
          </w:tcPr>
          <w:p>
            <w:r>
              <w:rPr>
                <w:sz w:val="20"/>
              </w:rPr>
              <w:t>OPS-001: Deployment Guide</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